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113"/>
        <w:jc w:val="center"/>
      </w:pPr>
      <w:r>
        <w:rPr>
          <w:b/>
          <w:bCs/>
          <w:color w:val="14181A"/>
          <w:spacing w:val="20"/>
          <w:sz w:val="40"/>
          <w:szCs w:val="40"/>
        </w:rPr>
        <w:t xml:space="preserve">ORDEM DE SERVIÇO</w:t>
      </w:r>
    </w:p>
    <w:p>
      <w:pPr>
        <w:spacing w:after="170"/>
        <w:jc w:val="center"/>
      </w:pPr>
      <w:r>
        <w:rPr>
          <w:rFonts w:ascii="Consolas" w:cs="Consolas" w:eastAsia="Consolas" w:hAnsi="Consolas"/>
          <w:color w:val="666F74"/>
          <w:sz w:val="18"/>
          <w:szCs w:val="18"/>
        </w:rPr>
        <w:t xml:space="preserve">Nº 000452 · Aberta em 11/08/2026</w:t>
      </w:r>
    </w:p>
    <w:p>
      <w:pPr>
        <w:pBdr>
          <w:bottom w:val="single" w:color="E3DCCD" w:sz="4" w:space="1"/>
        </w:pBdr>
        <w:spacing w:after="113" w:before="113"/>
      </w:pPr>
    </w:p>
    <w:p>
      <w:pPr>
        <w:spacing w:after="284"/>
      </w:pPr>
    </w:p>
    <w:tbl>
      <w:tblPr>
        <w:tblW w:type="pct" w:w="10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666F74"/>
                <w:sz w:val="14"/>
                <w:szCs w:val="14"/>
              </w:rPr>
              <w:t xml:space="preserve">CLIENTE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Marcelo Tavares Pinto</w:t>
            </w:r>
          </w:p>
        </w:tc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666F74"/>
                <w:sz w:val="14"/>
                <w:szCs w:val="14"/>
              </w:rPr>
              <w:t xml:space="preserve">CONTATO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(19) 99123-4567</w:t>
            </w:r>
          </w:p>
        </w:tc>
      </w:tr>
      <w:tr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666F74"/>
                <w:sz w:val="14"/>
                <w:szCs w:val="14"/>
              </w:rPr>
              <w:t xml:space="preserve">PRESTADOR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TecSolve Assistência Técnica</w:t>
            </w:r>
          </w:p>
        </w:tc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666F74"/>
                <w:sz w:val="14"/>
                <w:szCs w:val="14"/>
              </w:rPr>
              <w:t xml:space="preserve">CPF/CNPJ DO PRESTADOR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98.765.432/0001-10</w:t>
            </w:r>
          </w:p>
        </w:tc>
      </w:tr>
    </w:tbl>
    <w:tbl>
      <w:tblPr>
        <w:tblW w:type="pct" w:w="10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666F74"/>
                <w:sz w:val="14"/>
                <w:szCs w:val="14"/>
              </w:rPr>
              <w:t xml:space="preserve">EQUIPAMENTO OU LOCAL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Notebook Dell Inspiron 15 3520</w:t>
            </w:r>
          </w:p>
        </w:tc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666F74"/>
                <w:sz w:val="14"/>
                <w:szCs w:val="14"/>
              </w:rPr>
              <w:t xml:space="preserve">IDENTIFICAÇÃO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Série BR7K92XQ</w:t>
            </w:r>
          </w:p>
        </w:tc>
      </w:tr>
    </w:tbl>
    <w:p>
      <w:pPr>
        <w:spacing w:after="170" w:line="300"/>
        <w:jc w:val="both"/>
      </w:pPr>
      <w:r>
        <w:rPr>
          <w:b w:val="false"/>
          <w:bCs w:val="false"/>
          <w:color w:val="14181A"/>
          <w:sz w:val="21"/>
          <w:szCs w:val="21"/>
        </w:rPr>
        <w:t xml:space="preserve">Problema relatado: </w:t>
      </w:r>
      <w:r>
        <w:rPr>
          <w:b w:val="false"/>
          <w:bCs w:val="false"/>
          <w:color w:val="14181A"/>
          <w:sz w:val="21"/>
          <w:szCs w:val="21"/>
        </w:rPr>
        <w:t xml:space="preserve">Segundo o cliente, o aparelho desliga sozinho após alguns minutos de uso.</w:t>
      </w:r>
    </w:p>
    <w:p>
      <w:pPr>
        <w:spacing w:after="170" w:line="300"/>
        <w:jc w:val="both"/>
      </w:pPr>
      <w:r>
        <w:rPr>
          <w:b w:val="false"/>
          <w:bCs w:val="false"/>
          <w:color w:val="14181A"/>
          <w:sz w:val="21"/>
          <w:szCs w:val="21"/>
        </w:rPr>
        <w:t xml:space="preserve">Diagnóstico e serviço executado: </w:t>
      </w:r>
      <w:r>
        <w:rPr>
          <w:b/>
          <w:bCs/>
          <w:color w:val="14181A"/>
          <w:sz w:val="21"/>
          <w:szCs w:val="21"/>
        </w:rPr>
        <w:t xml:space="preserve">Superaquecimento por pasta térmica ressecada e cooler obstruído. Realizada limpeza interna, troca da pasta térmica e substituição do cooler. Teste de estresse por 40 minutos sem desligamento.</w:t>
      </w:r>
    </w:p>
    <w:p>
      <w:pPr>
        <w:spacing w:after="170"/>
      </w:pPr>
    </w:p>
    <w:tbl>
      <w:tblPr>
        <w:tblW w:type="pct" w:w="10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single" w:color="auto" w:sz="4"/>
          <w:insideV w:val="single" w:color="auto" w:sz="4"/>
        </w:tblBorders>
      </w:tblPr>
      <w:tblGrid>
        <w:gridCol w:w="4680"/>
        <w:gridCol w:w="900"/>
        <w:gridCol w:w="1710"/>
        <w:gridCol w:w="1710"/>
      </w:tblGrid>
      <w:tr>
        <w:tc>
          <w:tcPr>
            <w:tcBorders>
              <w:top w:val="none" w:color="auto" w:sz="0"/>
              <w:left w:val="none" w:color="auto" w:sz="0"/>
              <w:bottom w:val="single" w:color="E3DCCD" w:sz="4"/>
              <w:right w:val="none" w:color="auto" w:sz="0"/>
            </w:tcBorders>
            <w:tcMar>
              <w:top w:type="dxa" w:w="57"/>
              <w:bottom w:type="dxa" w:w="57"/>
              <w:right w:type="dxa" w:w="113"/>
            </w:tcMar>
          </w:tcPr>
          <w:p>
            <w:pPr>
              <w:jc w:val="left"/>
            </w:pPr>
            <w:r>
              <w:rPr>
                <w:rFonts w:ascii="Consolas" w:cs="Consolas" w:eastAsia="Consolas" w:hAnsi="Consolas"/>
                <w:b w:val="false"/>
                <w:bCs w:val="false"/>
                <w:color w:val="666F74"/>
                <w:sz w:val="14"/>
                <w:szCs w:val="14"/>
              </w:rPr>
              <w:t xml:space="preserve">PEÇAS E SERVIÇOS</w:t>
            </w:r>
          </w:p>
        </w:tc>
        <w:tc>
          <w:tcPr>
            <w:tcBorders>
              <w:top w:val="none" w:color="auto" w:sz="0"/>
              <w:left w:val="none" w:color="auto" w:sz="0"/>
              <w:bottom w:val="single" w:color="E3DCCD" w:sz="4"/>
              <w:right w:val="none" w:color="auto" w:sz="0"/>
            </w:tcBorders>
            <w:tcMar>
              <w:top w:type="dxa" w:w="57"/>
              <w:bottom w:type="dxa" w:w="57"/>
              <w:right w:type="dxa" w:w="113"/>
            </w:tcMar>
          </w:tcPr>
          <w:p>
            <w:pPr>
              <w:jc w:val="right"/>
            </w:pPr>
            <w:r>
              <w:rPr>
                <w:rFonts w:ascii="Consolas" w:cs="Consolas" w:eastAsia="Consolas" w:hAnsi="Consolas"/>
                <w:b w:val="false"/>
                <w:bCs w:val="false"/>
                <w:color w:val="666F74"/>
                <w:sz w:val="14"/>
                <w:szCs w:val="14"/>
              </w:rPr>
              <w:t xml:space="preserve">QTD</w:t>
            </w:r>
          </w:p>
        </w:tc>
        <w:tc>
          <w:tcPr>
            <w:tcBorders>
              <w:top w:val="none" w:color="auto" w:sz="0"/>
              <w:left w:val="none" w:color="auto" w:sz="0"/>
              <w:bottom w:val="single" w:color="E3DCCD" w:sz="4"/>
              <w:right w:val="none" w:color="auto" w:sz="0"/>
            </w:tcBorders>
            <w:tcMar>
              <w:top w:type="dxa" w:w="57"/>
              <w:bottom w:type="dxa" w:w="57"/>
              <w:right w:type="dxa" w:w="113"/>
            </w:tcMar>
          </w:tcPr>
          <w:p>
            <w:pPr>
              <w:jc w:val="right"/>
            </w:pPr>
            <w:r>
              <w:rPr>
                <w:rFonts w:ascii="Consolas" w:cs="Consolas" w:eastAsia="Consolas" w:hAnsi="Consolas"/>
                <w:b w:val="false"/>
                <w:bCs w:val="false"/>
                <w:color w:val="666F74"/>
                <w:sz w:val="14"/>
                <w:szCs w:val="14"/>
              </w:rPr>
              <w:t xml:space="preserve">VALOR UNITÁRIO</w:t>
            </w:r>
          </w:p>
        </w:tc>
        <w:tc>
          <w:tcPr>
            <w:tcBorders>
              <w:top w:val="none" w:color="auto" w:sz="0"/>
              <w:left w:val="none" w:color="auto" w:sz="0"/>
              <w:bottom w:val="single" w:color="E3DCCD" w:sz="4"/>
              <w:right w:val="none" w:color="auto" w:sz="0"/>
            </w:tcBorders>
            <w:tcMar>
              <w:top w:type="dxa" w:w="57"/>
              <w:bottom w:type="dxa" w:w="57"/>
              <w:right w:type="dxa" w:w="113"/>
            </w:tcMar>
          </w:tcPr>
          <w:p>
            <w:pPr>
              <w:jc w:val="right"/>
            </w:pPr>
            <w:r>
              <w:rPr>
                <w:rFonts w:ascii="Consolas" w:cs="Consolas" w:eastAsia="Consolas" w:hAnsi="Consolas"/>
                <w:b w:val="false"/>
                <w:bCs w:val="false"/>
                <w:color w:val="666F74"/>
                <w:sz w:val="14"/>
                <w:szCs w:val="14"/>
              </w:rPr>
              <w:t xml:space="preserve">TOTAL</w:t>
            </w:r>
          </w:p>
        </w:tc>
      </w:tr>
      <w:tr>
        <w:tc>
          <w:tcPr>
            <w:tcBorders>
              <w:top w:val="none" w:color="auto" w:sz="0"/>
              <w:left w:val="none" w:color="auto" w:sz="0"/>
              <w:bottom w:val="single" w:color="E3DCCD" w:sz="4"/>
              <w:right w:val="none" w:color="auto" w:sz="0"/>
            </w:tcBorders>
            <w:tcMar>
              <w:top w:type="dxa" w:w="57"/>
              <w:bottom w:type="dxa" w:w="57"/>
              <w:right w:type="dxa" w:w="113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4181A"/>
                <w:sz w:val="19"/>
                <w:szCs w:val="19"/>
              </w:rPr>
              <w:t xml:space="preserve">Cooler para Inspiron 15 3520</w:t>
            </w:r>
          </w:p>
        </w:tc>
        <w:tc>
          <w:tcPr>
            <w:tcBorders>
              <w:top w:val="none" w:color="auto" w:sz="0"/>
              <w:left w:val="none" w:color="auto" w:sz="0"/>
              <w:bottom w:val="single" w:color="E3DCCD" w:sz="4"/>
              <w:right w:val="none" w:color="auto" w:sz="0"/>
            </w:tcBorders>
            <w:tcMar>
              <w:top w:type="dxa" w:w="57"/>
              <w:bottom w:type="dxa" w:w="57"/>
              <w:right w:type="dxa" w:w="113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14181A"/>
                <w:sz w:val="19"/>
                <w:szCs w:val="19"/>
              </w:rPr>
              <w:t xml:space="preserve">1</w:t>
            </w:r>
          </w:p>
        </w:tc>
        <w:tc>
          <w:tcPr>
            <w:tcBorders>
              <w:top w:val="none" w:color="auto" w:sz="0"/>
              <w:left w:val="none" w:color="auto" w:sz="0"/>
              <w:bottom w:val="single" w:color="E3DCCD" w:sz="4"/>
              <w:right w:val="none" w:color="auto" w:sz="0"/>
            </w:tcBorders>
            <w:tcMar>
              <w:top w:type="dxa" w:w="57"/>
              <w:bottom w:type="dxa" w:w="57"/>
              <w:right w:type="dxa" w:w="113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14181A"/>
                <w:sz w:val="19"/>
                <w:szCs w:val="19"/>
              </w:rPr>
              <w:t xml:space="preserve">145,00</w:t>
            </w:r>
          </w:p>
        </w:tc>
        <w:tc>
          <w:tcPr>
            <w:tcBorders>
              <w:top w:val="none" w:color="auto" w:sz="0"/>
              <w:left w:val="none" w:color="auto" w:sz="0"/>
              <w:bottom w:val="single" w:color="E3DCCD" w:sz="4"/>
              <w:right w:val="none" w:color="auto" w:sz="0"/>
            </w:tcBorders>
            <w:tcMar>
              <w:top w:type="dxa" w:w="57"/>
              <w:bottom w:type="dxa" w:w="57"/>
              <w:right w:type="dxa" w:w="113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14181A"/>
                <w:sz w:val="19"/>
                <w:szCs w:val="19"/>
              </w:rPr>
              <w:t xml:space="preserve">145,00</w:t>
            </w:r>
          </w:p>
        </w:tc>
      </w:tr>
      <w:tr>
        <w:tc>
          <w:tcPr>
            <w:tcBorders>
              <w:top w:val="none" w:color="auto" w:sz="0"/>
              <w:left w:val="none" w:color="auto" w:sz="0"/>
              <w:bottom w:val="single" w:color="E3DCCD" w:sz="4"/>
              <w:right w:val="none" w:color="auto" w:sz="0"/>
            </w:tcBorders>
            <w:tcMar>
              <w:top w:type="dxa" w:w="57"/>
              <w:bottom w:type="dxa" w:w="57"/>
              <w:right w:type="dxa" w:w="113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4181A"/>
                <w:sz w:val="19"/>
                <w:szCs w:val="19"/>
              </w:rPr>
              <w:t xml:space="preserve">Pasta térmica de alta condutividade</w:t>
            </w:r>
          </w:p>
        </w:tc>
        <w:tc>
          <w:tcPr>
            <w:tcBorders>
              <w:top w:val="none" w:color="auto" w:sz="0"/>
              <w:left w:val="none" w:color="auto" w:sz="0"/>
              <w:bottom w:val="single" w:color="E3DCCD" w:sz="4"/>
              <w:right w:val="none" w:color="auto" w:sz="0"/>
            </w:tcBorders>
            <w:tcMar>
              <w:top w:type="dxa" w:w="57"/>
              <w:bottom w:type="dxa" w:w="57"/>
              <w:right w:type="dxa" w:w="113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14181A"/>
                <w:sz w:val="19"/>
                <w:szCs w:val="19"/>
              </w:rPr>
              <w:t xml:space="preserve">1</w:t>
            </w:r>
          </w:p>
        </w:tc>
        <w:tc>
          <w:tcPr>
            <w:tcBorders>
              <w:top w:val="none" w:color="auto" w:sz="0"/>
              <w:left w:val="none" w:color="auto" w:sz="0"/>
              <w:bottom w:val="single" w:color="E3DCCD" w:sz="4"/>
              <w:right w:val="none" w:color="auto" w:sz="0"/>
            </w:tcBorders>
            <w:tcMar>
              <w:top w:type="dxa" w:w="57"/>
              <w:bottom w:type="dxa" w:w="57"/>
              <w:right w:type="dxa" w:w="113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14181A"/>
                <w:sz w:val="19"/>
                <w:szCs w:val="19"/>
              </w:rPr>
              <w:t xml:space="preserve">35,00</w:t>
            </w:r>
          </w:p>
        </w:tc>
        <w:tc>
          <w:tcPr>
            <w:tcBorders>
              <w:top w:val="none" w:color="auto" w:sz="0"/>
              <w:left w:val="none" w:color="auto" w:sz="0"/>
              <w:bottom w:val="single" w:color="E3DCCD" w:sz="4"/>
              <w:right w:val="none" w:color="auto" w:sz="0"/>
            </w:tcBorders>
            <w:tcMar>
              <w:top w:type="dxa" w:w="57"/>
              <w:bottom w:type="dxa" w:w="57"/>
              <w:right w:type="dxa" w:w="113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14181A"/>
                <w:sz w:val="19"/>
                <w:szCs w:val="19"/>
              </w:rPr>
              <w:t xml:space="preserve">35,00</w:t>
            </w:r>
          </w:p>
        </w:tc>
      </w:tr>
      <w:tr>
        <w:tc>
          <w:tcPr>
            <w:tcBorders>
              <w:top w:val="none" w:color="auto" w:sz="0"/>
              <w:left w:val="none" w:color="auto" w:sz="0"/>
              <w:bottom w:val="single" w:color="E3DCCD" w:sz="4"/>
              <w:right w:val="none" w:color="auto" w:sz="0"/>
            </w:tcBorders>
            <w:tcMar>
              <w:top w:type="dxa" w:w="57"/>
              <w:bottom w:type="dxa" w:w="57"/>
              <w:right w:type="dxa" w:w="113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4181A"/>
                <w:sz w:val="19"/>
                <w:szCs w:val="19"/>
              </w:rPr>
              <w:t xml:space="preserve">Mão de obra: limpeza interna e troca de cooler</w:t>
            </w:r>
          </w:p>
        </w:tc>
        <w:tc>
          <w:tcPr>
            <w:tcBorders>
              <w:top w:val="none" w:color="auto" w:sz="0"/>
              <w:left w:val="none" w:color="auto" w:sz="0"/>
              <w:bottom w:val="single" w:color="E3DCCD" w:sz="4"/>
              <w:right w:val="none" w:color="auto" w:sz="0"/>
            </w:tcBorders>
            <w:tcMar>
              <w:top w:type="dxa" w:w="57"/>
              <w:bottom w:type="dxa" w:w="57"/>
              <w:right w:type="dxa" w:w="113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14181A"/>
                <w:sz w:val="19"/>
                <w:szCs w:val="19"/>
              </w:rPr>
              <w:t xml:space="preserve">1</w:t>
            </w:r>
          </w:p>
        </w:tc>
        <w:tc>
          <w:tcPr>
            <w:tcBorders>
              <w:top w:val="none" w:color="auto" w:sz="0"/>
              <w:left w:val="none" w:color="auto" w:sz="0"/>
              <w:bottom w:val="single" w:color="E3DCCD" w:sz="4"/>
              <w:right w:val="none" w:color="auto" w:sz="0"/>
            </w:tcBorders>
            <w:tcMar>
              <w:top w:type="dxa" w:w="57"/>
              <w:bottom w:type="dxa" w:w="57"/>
              <w:right w:type="dxa" w:w="113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14181A"/>
                <w:sz w:val="19"/>
                <w:szCs w:val="19"/>
              </w:rPr>
              <w:t xml:space="preserve">180,00</w:t>
            </w:r>
          </w:p>
        </w:tc>
        <w:tc>
          <w:tcPr>
            <w:tcBorders>
              <w:top w:val="none" w:color="auto" w:sz="0"/>
              <w:left w:val="none" w:color="auto" w:sz="0"/>
              <w:bottom w:val="single" w:color="E3DCCD" w:sz="4"/>
              <w:right w:val="none" w:color="auto" w:sz="0"/>
            </w:tcBorders>
            <w:tcMar>
              <w:top w:type="dxa" w:w="57"/>
              <w:bottom w:type="dxa" w:w="57"/>
              <w:right w:type="dxa" w:w="113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14181A"/>
                <w:sz w:val="19"/>
                <w:szCs w:val="19"/>
              </w:rPr>
              <w:t xml:space="preserve">180,00</w:t>
            </w:r>
          </w:p>
        </w:tc>
      </w:tr>
      <w:tr>
        <w:tc>
          <w:tcPr>
            <w:tcBorders>
              <w:top w:val="none" w:color="auto" w:sz="0"/>
              <w:left w:val="none" w:color="auto" w:sz="0"/>
              <w:bottom w:val="single" w:color="E3DCCD" w:sz="4"/>
              <w:right w:val="none" w:color="auto" w:sz="0"/>
            </w:tcBorders>
            <w:tcMar>
              <w:top w:type="dxa" w:w="57"/>
              <w:bottom w:type="dxa" w:w="57"/>
              <w:right w:type="dxa" w:w="113"/>
            </w:tcMar>
          </w:tcPr>
          <w:p>
            <w:pPr>
              <w:jc w:val="right"/>
            </w:pPr>
            <w:r>
              <w:rPr>
                <w:b/>
                <w:bCs/>
                <w:color w:val="14181A"/>
                <w:sz w:val="19"/>
                <w:szCs w:val="19"/>
              </w:rPr>
              <w:t xml:space="preserve"/>
            </w:r>
          </w:p>
        </w:tc>
        <w:tc>
          <w:tcPr>
            <w:tcBorders>
              <w:top w:val="none" w:color="auto" w:sz="0"/>
              <w:left w:val="none" w:color="auto" w:sz="0"/>
              <w:bottom w:val="single" w:color="E3DCCD" w:sz="4"/>
              <w:right w:val="none" w:color="auto" w:sz="0"/>
            </w:tcBorders>
            <w:tcMar>
              <w:top w:type="dxa" w:w="57"/>
              <w:bottom w:type="dxa" w:w="57"/>
              <w:right w:type="dxa" w:w="113"/>
            </w:tcMar>
          </w:tcPr>
          <w:p>
            <w:pPr>
              <w:jc w:val="right"/>
            </w:pPr>
            <w:r>
              <w:rPr>
                <w:b/>
                <w:bCs/>
                <w:color w:val="14181A"/>
                <w:sz w:val="19"/>
                <w:szCs w:val="19"/>
              </w:rPr>
              <w:t xml:space="preserve"/>
            </w:r>
          </w:p>
        </w:tc>
        <w:tc>
          <w:tcPr>
            <w:tcBorders>
              <w:top w:val="none" w:color="auto" w:sz="0"/>
              <w:left w:val="none" w:color="auto" w:sz="0"/>
              <w:bottom w:val="single" w:color="E3DCCD" w:sz="4"/>
              <w:right w:val="none" w:color="auto" w:sz="0"/>
            </w:tcBorders>
            <w:tcMar>
              <w:top w:type="dxa" w:w="57"/>
              <w:bottom w:type="dxa" w:w="57"/>
              <w:right w:type="dxa" w:w="113"/>
            </w:tcMar>
          </w:tcPr>
          <w:p>
            <w:pPr>
              <w:jc w:val="right"/>
            </w:pPr>
            <w:r>
              <w:rPr>
                <w:b/>
                <w:bCs/>
                <w:color w:val="14181A"/>
                <w:sz w:val="19"/>
                <w:szCs w:val="19"/>
              </w:rPr>
              <w:t xml:space="preserve">Total da ordem de serviço</w:t>
            </w:r>
          </w:p>
        </w:tc>
        <w:tc>
          <w:tcPr>
            <w:tcBorders>
              <w:top w:val="none" w:color="auto" w:sz="0"/>
              <w:left w:val="none" w:color="auto" w:sz="0"/>
              <w:bottom w:val="single" w:color="E3DCCD" w:sz="4"/>
              <w:right w:val="none" w:color="auto" w:sz="0"/>
            </w:tcBorders>
            <w:tcMar>
              <w:top w:type="dxa" w:w="57"/>
              <w:bottom w:type="dxa" w:w="57"/>
              <w:right w:type="dxa" w:w="113"/>
            </w:tcMar>
          </w:tcPr>
          <w:p>
            <w:pPr>
              <w:jc w:val="right"/>
            </w:pPr>
            <w:r>
              <w:rPr>
                <w:b/>
                <w:bCs/>
                <w:color w:val="14181A"/>
                <w:sz w:val="19"/>
                <w:szCs w:val="19"/>
              </w:rPr>
              <w:t xml:space="preserve">360,00</w:t>
            </w:r>
          </w:p>
        </w:tc>
      </w:tr>
    </w:tbl>
    <w:p>
      <w:pPr>
        <w:spacing w:after="170"/>
      </w:pPr>
    </w:p>
    <w:tbl>
      <w:tblPr>
        <w:tblW w:type="pct" w:w="10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666F74"/>
                <w:sz w:val="14"/>
                <w:szCs w:val="14"/>
              </w:rPr>
              <w:t xml:space="preserve">PREVISÃO DE ENTREGA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2 dias úteis</w:t>
            </w:r>
          </w:p>
        </w:tc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666F74"/>
                <w:sz w:val="14"/>
                <w:szCs w:val="14"/>
              </w:rPr>
              <w:t xml:space="preserve">GARANTIA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90 dias a contar da entrega</w:t>
            </w:r>
          </w:p>
        </w:tc>
      </w:tr>
    </w:tbl>
    <w:p>
      <w:pPr>
        <w:spacing w:after="170" w:line="300"/>
        <w:jc w:val="both"/>
      </w:pPr>
      <w:r>
        <w:rPr>
          <w:b w:val="false"/>
          <w:bCs w:val="false"/>
          <w:color w:val="14181A"/>
          <w:sz w:val="21"/>
          <w:szCs w:val="21"/>
        </w:rPr>
        <w:t xml:space="preserve">Autorizo a execução dos serviços descritos acima, nas condições e pelos valores indicados. Serviços não previstos nesta ordem dependem de nova autorização.</w:t>
      </w:r>
    </w:p>
    <w:p>
      <w:pPr>
        <w:spacing w:after="340"/>
      </w:pPr>
    </w:p>
    <w:p>
      <w:pPr>
        <w:spacing w:after="113" w:before="227"/>
        <w:jc w:val="right"/>
      </w:pPr>
      <w:r>
        <w:rPr>
          <w:color w:val="14181A"/>
          <w:sz w:val="20"/>
          <w:szCs w:val="20"/>
        </w:rPr>
        <w:t xml:space="preserve">Campinas, 11/08/2026</w:t>
      </w:r>
    </w:p>
    <w:p>
      <w:pPr>
        <w:spacing w:after="680"/>
      </w:pPr>
    </w:p>
    <w:p>
      <w:pPr>
        <w:pBdr>
          <w:bottom w:val="single" w:color="14181A" w:sz="6" w:space="1"/>
        </w:pBdr>
        <w:spacing w:after="57" w:before="794"/>
        <w:jc w:val="center"/>
      </w:pPr>
    </w:p>
    <w:p>
      <w:pPr>
        <w:jc w:val="center"/>
      </w:pPr>
      <w:r>
        <w:rPr>
          <w:b/>
          <w:bCs/>
          <w:color w:val="14181A"/>
          <w:sz w:val="18"/>
          <w:szCs w:val="18"/>
        </w:rPr>
        <w:t xml:space="preserve">Marcelo Tavares Pinto</w:t>
      </w:r>
    </w:p>
    <w:p>
      <w:pPr>
        <w:jc w:val="center"/>
      </w:pPr>
      <w:r>
        <w:rPr>
          <w:rFonts w:ascii="Consolas" w:cs="Consolas" w:eastAsia="Consolas" w:hAnsi="Consolas"/>
          <w:color w:val="666F74"/>
          <w:sz w:val="15"/>
          <w:szCs w:val="15"/>
        </w:rPr>
        <w:t xml:space="preserve">Cliente, autoriza a execução</w:t>
      </w:r>
    </w:p>
    <w:p>
      <w:pPr>
        <w:spacing w:after="567"/>
      </w:pPr>
    </w:p>
    <w:p>
      <w:pPr>
        <w:pBdr>
          <w:bottom w:val="single" w:color="14181A" w:sz="6" w:space="1"/>
        </w:pBdr>
        <w:spacing w:after="57" w:before="794"/>
        <w:jc w:val="center"/>
      </w:pPr>
    </w:p>
    <w:p>
      <w:pPr>
        <w:jc w:val="center"/>
      </w:pPr>
      <w:r>
        <w:rPr>
          <w:b/>
          <w:bCs/>
          <w:color w:val="14181A"/>
          <w:sz w:val="18"/>
          <w:szCs w:val="18"/>
        </w:rPr>
        <w:t xml:space="preserve">Marcelo Tavares Pinto</w:t>
      </w:r>
    </w:p>
    <w:p>
      <w:pPr>
        <w:jc w:val="center"/>
      </w:pPr>
      <w:r>
        <w:rPr>
          <w:rFonts w:ascii="Consolas" w:cs="Consolas" w:eastAsia="Consolas" w:hAnsi="Consolas"/>
          <w:color w:val="666F74"/>
          <w:sz w:val="15"/>
          <w:szCs w:val="15"/>
        </w:rPr>
        <w:t xml:space="preserve">Cliente, recebe o serviço concluído</w:t>
      </w:r>
    </w:p>
    <w:p>
      <w:pPr>
        <w:spacing w:after="340"/>
      </w:pPr>
    </w:p>
    <w:sectPr>
      <w:pgSz w:w="11907" w:h="16840" w:orient="portrait"/>
      <w:pgMar w:top="1134" w:right="1021" w:bottom="907" w:left="102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4181A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Ordem de serviço</dc:title>
  <dc:creator>Recibos Online IA</dc:creator>
  <cp:lastModifiedBy>Un-named</cp:lastModifiedBy>
  <cp:revision>1</cp:revision>
  <dcterms:created xsi:type="dcterms:W3CDTF">2026-08-12T03:43:36.086Z</dcterms:created>
  <dcterms:modified xsi:type="dcterms:W3CDTF">2026-08-12T03:43:36.086Z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