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spacing w:after="113"/>
        <w:jc w:val="center"/>
      </w:pPr>
      <w:r>
        <w:rPr>
          <w:b/>
          <w:bCs/>
          <w:color w:val="14181C"/>
          <w:spacing w:val="20"/>
          <w:sz w:val="40"/>
          <w:szCs w:val="40"/>
        </w:rPr>
        <w:t xml:space="preserve">INSTRUMENTO PARTICULAR DE DISTRATO</w:t>
      </w:r>
    </w:p>
    <w:p>
      <w:pPr>
        <w:pBdr>
          <w:bottom w:val="single" w:color="E3DCCD" w:sz="4" w:space="1"/>
        </w:pBdr>
        <w:spacing w:after="113" w:before="113"/>
      </w:pPr>
    </w:p>
    <w:p>
      <w:pPr>
        <w:spacing w:after="454"/>
      </w:pPr>
    </w:p>
    <w:p>
      <w:pPr>
        <w:spacing w:after="170"/>
        <w:jc w:val="center"/>
      </w:pPr>
      <w:r>
        <w:rPr>
          <w:rFonts w:ascii="Consolas" w:cs="Consolas" w:eastAsia="Consolas" w:hAnsi="Consolas"/>
          <w:color w:val="6B7378"/>
          <w:sz w:val="18"/>
          <w:szCs w:val="18"/>
        </w:rPr>
        <w:t xml:space="preserve">Partes</w:t>
      </w:r>
    </w:p>
    <w:p>
      <w:pPr>
        <w:spacing w:after="170" w:line="300"/>
        <w:jc w:val="both"/>
      </w:pPr>
      <w:r>
        <w:rPr>
          <w:b w:val="false"/>
          <w:bCs w:val="false"/>
          <w:color w:val="14181C"/>
          <w:sz w:val="21"/>
          <w:szCs w:val="21"/>
        </w:rPr>
        <w:t xml:space="preserve">PRIMEIRO DISTRATANTE: </w:t>
      </w:r>
      <w:r>
        <w:rPr>
          <w:b/>
          <w:bCs/>
          <w:color w:val="14181C"/>
          <w:sz w:val="21"/>
          <w:szCs w:val="21"/>
        </w:rPr>
        <w:t xml:space="preserve">Núcleo Vidraçaria e Esquadrias Ltda.</w:t>
      </w:r>
      <w:r>
        <w:rPr>
          <w:b w:val="false"/>
          <w:bCs w:val="false"/>
          <w:color w:val="14181C"/>
          <w:sz w:val="21"/>
          <w:szCs w:val="21"/>
        </w:rPr>
        <w:t xml:space="preserve">, inscrito(a) no CPF/CNPJ sob o nº </w:t>
      </w:r>
      <w:r>
        <w:rPr>
          <w:b w:val="false"/>
          <w:bCs w:val="false"/>
          <w:color w:val="14181C"/>
          <w:sz w:val="21"/>
          <w:szCs w:val="21"/>
        </w:rPr>
        <w:t xml:space="preserve">18.442.907/0001-76</w:t>
      </w:r>
      <w:r>
        <w:rPr>
          <w:b w:val="false"/>
          <w:bCs w:val="false"/>
          <w:color w:val="14181C"/>
          <w:sz w:val="21"/>
          <w:szCs w:val="21"/>
        </w:rPr>
        <w:t xml:space="preserve">, residente e domiciliado(a) em </w:t>
      </w:r>
      <w:r>
        <w:rPr>
          <w:b w:val="false"/>
          <w:bCs w:val="false"/>
          <w:color w:val="14181C"/>
          <w:sz w:val="21"/>
          <w:szCs w:val="21"/>
        </w:rPr>
        <w:t xml:space="preserve">Rua Almirante Barroso, 415, galpão 2, Vila Industrial, Sorocaba, SP</w:t>
      </w:r>
      <w:r>
        <w:rPr>
          <w:b w:val="false"/>
          <w:bCs w:val="false"/>
          <w:color w:val="14181C"/>
          <w:sz w:val="21"/>
          <w:szCs w:val="21"/>
        </w:rPr>
        <w:t xml:space="preserve">.</w:t>
      </w:r>
    </w:p>
    <w:p>
      <w:pPr>
        <w:spacing w:after="170" w:line="300"/>
        <w:jc w:val="both"/>
      </w:pPr>
      <w:r>
        <w:rPr>
          <w:b w:val="false"/>
          <w:bCs w:val="false"/>
          <w:color w:val="14181C"/>
          <w:sz w:val="21"/>
          <w:szCs w:val="21"/>
        </w:rPr>
        <w:t xml:space="preserve">SEGUNDO DISTRATANTE: </w:t>
      </w:r>
      <w:r>
        <w:rPr>
          <w:b/>
          <w:bCs/>
          <w:color w:val="14181C"/>
          <w:sz w:val="21"/>
          <w:szCs w:val="21"/>
        </w:rPr>
        <w:t xml:space="preserve">Rodrigo Salgado Bittencourt</w:t>
      </w:r>
      <w:r>
        <w:rPr>
          <w:b w:val="false"/>
          <w:bCs w:val="false"/>
          <w:color w:val="14181C"/>
          <w:sz w:val="21"/>
          <w:szCs w:val="21"/>
        </w:rPr>
        <w:t xml:space="preserve">, inscrito(a) no CPF/CNPJ sob o nº </w:t>
      </w:r>
      <w:r>
        <w:rPr>
          <w:b w:val="false"/>
          <w:bCs w:val="false"/>
          <w:color w:val="14181C"/>
          <w:sz w:val="21"/>
          <w:szCs w:val="21"/>
        </w:rPr>
        <w:t xml:space="preserve">529.982.247-25</w:t>
      </w:r>
      <w:r>
        <w:rPr>
          <w:b w:val="false"/>
          <w:bCs w:val="false"/>
          <w:color w:val="14181C"/>
          <w:sz w:val="21"/>
          <w:szCs w:val="21"/>
        </w:rPr>
        <w:t xml:space="preserve">, residente e domiciliado(a) em </w:t>
      </w:r>
      <w:r>
        <w:rPr>
          <w:b w:val="false"/>
          <w:bCs w:val="false"/>
          <w:color w:val="14181C"/>
          <w:sz w:val="21"/>
          <w:szCs w:val="21"/>
        </w:rPr>
        <w:t xml:space="preserve">Rua Doutor Álvaro Soares, 268, apartamento 71, Centro, Sorocaba, SP</w:t>
      </w:r>
      <w:r>
        <w:rPr>
          <w:b w:val="false"/>
          <w:bCs w:val="false"/>
          <w:color w:val="14181C"/>
          <w:sz w:val="21"/>
          <w:szCs w:val="21"/>
        </w:rPr>
        <w:t xml:space="preserve">.</w:t>
      </w:r>
    </w:p>
    <w:p>
      <w:pPr>
        <w:spacing w:after="170" w:line="300"/>
        <w:jc w:val="both"/>
      </w:pPr>
      <w:r>
        <w:rPr>
          <w:b w:val="false"/>
          <w:bCs w:val="false"/>
          <w:color w:val="14181C"/>
          <w:sz w:val="21"/>
          <w:szCs w:val="21"/>
        </w:rPr>
        <w:t xml:space="preserve">As partes acima qualificadas, de comum acordo e por livre manifestação de vontade, resolvem encerrar o contrato adiante identificado, na forma do artigo 472 do Código Civil, mediante as cláusulas seguintes.</w:t>
      </w:r>
    </w:p>
    <w:p>
      <w:pPr>
        <w:spacing w:after="340"/>
      </w:pPr>
    </w:p>
    <w:p>
      <w:pPr>
        <w:spacing w:after="170"/>
        <w:jc w:val="center"/>
      </w:pPr>
      <w:r>
        <w:rPr>
          <w:rFonts w:ascii="Consolas" w:cs="Consolas" w:eastAsia="Consolas" w:hAnsi="Consolas"/>
          <w:color w:val="6B7378"/>
          <w:sz w:val="18"/>
          <w:szCs w:val="18"/>
        </w:rPr>
        <w:t xml:space="preserve">Cláusulas</w:t>
      </w:r>
    </w:p>
    <w:p>
      <w:pPr>
        <w:spacing w:after="170" w:line="300"/>
        <w:jc w:val="both"/>
      </w:pPr>
      <w:r>
        <w:rPr>
          <w:b w:val="false"/>
          <w:bCs w:val="false"/>
          <w:color w:val="14181C"/>
          <w:sz w:val="21"/>
          <w:szCs w:val="21"/>
        </w:rPr>
        <w:t xml:space="preserve">CLÁUSULA PRIMEIRA. DO CONTRATO DESFEITO. As partes celebraram, em 9 de março de 2026, contrato particular de prestação de serviço de projeto e instalação de esquadrias de alumínio no imóvel situado na Rua Doutor Álvaro Soares, 268, apartamento 71, Sorocaba, SP, pelo valor total de R$ 24.000,00 (vinte e quatro mil reais), contrato este que não foi levado a registro.</w:t>
      </w:r>
    </w:p>
    <w:p>
      <w:pPr>
        <w:spacing w:after="170" w:line="300"/>
        <w:jc w:val="both"/>
      </w:pPr>
      <w:r>
        <w:rPr>
          <w:b w:val="false"/>
          <w:bCs w:val="false"/>
          <w:color w:val="14181C"/>
          <w:sz w:val="21"/>
          <w:szCs w:val="21"/>
        </w:rPr>
        <w:t xml:space="preserve">CLÁUSULA SEGUNDA. DO ENCERRAMENTO. De comum acordo, as partes dão por encerrado o contrato descrito na cláusula primeira, com efeito a partir de 13 de agosto de 2026, cessando nesta data todas as obrigações recíprocas de execução e de pagamento nele previstas.</w:t>
      </w:r>
    </w:p>
    <w:p>
      <w:pPr>
        <w:spacing w:after="170" w:line="300"/>
        <w:jc w:val="both"/>
      </w:pPr>
      <w:r>
        <w:rPr>
          <w:b w:val="false"/>
          <w:bCs w:val="false"/>
          <w:color w:val="14181C"/>
          <w:sz w:val="21"/>
          <w:szCs w:val="21"/>
        </w:rPr>
        <w:t xml:space="preserve">CLÁUSULA TERCEIRA. DO QUE FOI EXECUTADO. As partes reconhecem que foram entregues e aceitas as esquadrias da sala e dos dois dormitórios, correspondentes a 60% do escopo contratado, e que o SEGUNDO DISTRATANTE já pagou R$ 14.400,00 (quatorze mil e quatrocentos reais) por essa etapa. O restante do escopo não será executado.</w:t>
      </w:r>
    </w:p>
    <w:p>
      <w:pPr>
        <w:spacing w:after="170" w:line="300"/>
        <w:jc w:val="both"/>
      </w:pPr>
      <w:r>
        <w:rPr>
          <w:b w:val="false"/>
          <w:bCs w:val="false"/>
          <w:color w:val="14181C"/>
          <w:sz w:val="21"/>
          <w:szCs w:val="21"/>
        </w:rPr>
        <w:t xml:space="preserve">CLÁUSULA QUARTA. DO ACERTO DE VALORES. O PRIMEIRO DISTRATANTE restituirá ao SEGUNDO DISTRATANTE a quantia de R$ 1.800,00 (mil e oitocentos reais), referente ao adiantamento de material da etapa não executada, em parcela única, até 27 de agosto de 2026, por transferência à conta indicada nas observações. O atraso sujeita o valor a correção monetária pelo IPCA, juros de 1% ao mês e multa de 2%.</w:t>
      </w:r>
    </w:p>
    <w:p>
      <w:pPr>
        <w:spacing w:after="170" w:line="300"/>
        <w:jc w:val="both"/>
      </w:pPr>
      <w:r>
        <w:rPr>
          <w:b w:val="false"/>
          <w:bCs w:val="false"/>
          <w:color w:val="14181C"/>
          <w:sz w:val="21"/>
          <w:szCs w:val="21"/>
        </w:rPr>
        <w:t xml:space="preserve">CLÁUSULA QUINTA. DA MULTA CONTRATUAL. As partes ajustam que nenhuma multa é devida por qualquer delas em razão deste encerramento consensual, ficando afastada a aplicação da cláusula de rescisão do contrato desfeito.</w:t>
      </w:r>
    </w:p>
    <w:p>
      <w:pPr>
        <w:spacing w:after="170" w:line="300"/>
        <w:jc w:val="both"/>
      </w:pPr>
      <w:r>
        <w:rPr>
          <w:b w:val="false"/>
          <w:bCs w:val="false"/>
          <w:color w:val="14181C"/>
          <w:sz w:val="21"/>
          <w:szCs w:val="21"/>
        </w:rPr>
        <w:t xml:space="preserve">CLÁUSULA SEXTA. DA QUITAÇÃO RECÍPROCA. Cumprida a restituição prevista na cláusula quarta, as partes dão uma à outra plena, geral e recíproca quitação de todas as obrigações decorrentes do contrato ora desfeito, nada mais tendo a reclamar entre si, a qualquer tempo ou título, seja de valores, multas, indenizações ou perdas e danos.</w:t>
      </w:r>
    </w:p>
    <w:p>
      <w:pPr>
        <w:spacing w:after="170" w:line="300"/>
        <w:jc w:val="both"/>
      </w:pPr>
      <w:r>
        <w:rPr>
          <w:b w:val="false"/>
          <w:bCs w:val="false"/>
          <w:color w:val="14181C"/>
          <w:sz w:val="21"/>
          <w:szCs w:val="21"/>
        </w:rPr>
        <w:t xml:space="preserve">CLÁUSULA SÉTIMA. DO QUE SOBREVIVE AO DISTRATO. Permanece em vigor a garantia de 5 anos sobre as esquadrias já instaladas, contada da data de cada instalação, nos termos do contrato desfeito, que subsiste exclusivamente quanto a essa obrigação.</w:t>
      </w:r>
    </w:p>
    <w:p>
      <w:pPr>
        <w:spacing w:after="170" w:line="300"/>
        <w:jc w:val="both"/>
      </w:pPr>
      <w:r>
        <w:rPr>
          <w:b w:val="false"/>
          <w:bCs w:val="false"/>
          <w:color w:val="14181C"/>
          <w:sz w:val="21"/>
          <w:szCs w:val="21"/>
        </w:rPr>
        <w:t xml:space="preserve">CLÁUSULA OITAVA. DA DEVOLUÇÃO DE BENS. O SEGUNDO DISTRATANTE devolverá, até 20 de agosto de 2026, os dois perfis de alumínio não instalados que se encontram no imóvel, mediante recibo de retirada assinado pelo PRIMEIRO DISTRATANTE.</w:t>
      </w:r>
    </w:p>
    <w:p>
      <w:pPr>
        <w:spacing w:after="170" w:line="300"/>
        <w:jc w:val="both"/>
      </w:pPr>
      <w:r>
        <w:rPr>
          <w:b w:val="false"/>
          <w:bCs w:val="false"/>
          <w:color w:val="14181C"/>
          <w:sz w:val="21"/>
          <w:szCs w:val="21"/>
        </w:rPr>
        <w:t xml:space="preserve">CLÁUSULA NONA. DA AUSÊNCIA DE GARANTIAS DE TERCEIROS. As partes declaram que o contrato desfeito não contava com fiador, avalista ou garantia real, nada havendo a liberar perante terceiros.</w:t>
      </w:r>
    </w:p>
    <w:p>
      <w:pPr>
        <w:spacing w:after="170" w:line="300"/>
        <w:jc w:val="both"/>
      </w:pPr>
      <w:r>
        <w:rPr>
          <w:b w:val="false"/>
          <w:bCs w:val="false"/>
          <w:color w:val="14181C"/>
          <w:sz w:val="21"/>
          <w:szCs w:val="21"/>
        </w:rPr>
        <w:t xml:space="preserve">CLÁUSULA DÉCIMA. DA FORMA E DO FORO. Este distrato é firmado por instrumento particular, mesma forma do contrato desfeito, na conformidade do artigo 472 do Código Civil. As partes elegem o foro da comarca de Sorocaba, SP, para dirimir questões oriundas deste instrumento.</w:t>
      </w:r>
    </w:p>
    <w:p>
      <w:pPr>
        <w:spacing w:after="170" w:line="300"/>
        <w:jc w:val="both"/>
      </w:pPr>
      <w:r>
        <w:rPr>
          <w:b w:val="false"/>
          <w:bCs w:val="false"/>
          <w:color w:val="14181C"/>
          <w:sz w:val="21"/>
          <w:szCs w:val="21"/>
        </w:rPr>
        <w:t xml:space="preserve">A restituição prevista na cláusula quarta será feita à conta corrente do SEGUNDO DISTRATANTE no Banco 341, agência 0298, conta 44117-9. Integra este distrato cópia do contrato de prestação de serviço de 9 de março de 2026 e o termo de aceite da etapa entregue, assinado em 4 de julho de 2026.</w:t>
      </w:r>
    </w:p>
    <w:p>
      <w:pPr>
        <w:spacing w:after="340"/>
      </w:pPr>
    </w:p>
    <w:p>
      <w:pPr>
        <w:spacing w:after="170" w:line="300"/>
        <w:jc w:val="both"/>
      </w:pPr>
      <w:r>
        <w:rPr>
          <w:b w:val="false"/>
          <w:bCs w:val="false"/>
          <w:color w:val="14181C"/>
          <w:sz w:val="21"/>
          <w:szCs w:val="21"/>
        </w:rPr>
        <w:t xml:space="preserve">E por estarem de acordo com o encerramento aqui ajustado e com a quitação nele declarada, as partes firmam o presente distrato em duas vias de igual teor, na presença das testemunhas abaixo.</w:t>
      </w:r>
    </w:p>
    <w:p>
      <w:pPr>
        <w:spacing w:after="454"/>
      </w:pPr>
    </w:p>
    <w:p>
      <w:pPr>
        <w:spacing w:after="113" w:before="227"/>
        <w:jc w:val="right"/>
      </w:pPr>
      <w:r>
        <w:rPr>
          <w:color w:val="14181C"/>
          <w:sz w:val="20"/>
          <w:szCs w:val="20"/>
        </w:rPr>
        <w:t xml:space="preserve">Sorocaba, 13/08/2026</w:t>
      </w:r>
    </w:p>
    <w:p>
      <w:pPr>
        <w:spacing w:after="907"/>
      </w:pPr>
    </w:p>
    <w:p>
      <w:pPr>
        <w:pBdr>
          <w:bottom w:val="single" w:color="14181C" w:sz="6" w:space="1"/>
        </w:pBdr>
        <w:spacing w:after="57" w:before="794"/>
        <w:jc w:val="center"/>
      </w:pPr>
    </w:p>
    <w:p>
      <w:pPr>
        <w:jc w:val="center"/>
      </w:pPr>
      <w:r>
        <w:rPr>
          <w:b/>
          <w:bCs/>
          <w:color w:val="14181C"/>
          <w:sz w:val="18"/>
          <w:szCs w:val="18"/>
        </w:rPr>
        <w:t xml:space="preserve">Núcleo Vidraçaria e Esquadrias Ltda.</w:t>
      </w:r>
    </w:p>
    <w:p>
      <w:pPr>
        <w:jc w:val="center"/>
      </w:pPr>
      <w:r>
        <w:rPr>
          <w:rFonts w:ascii="Consolas" w:cs="Consolas" w:eastAsia="Consolas" w:hAnsi="Consolas"/>
          <w:color w:val="6B7378"/>
          <w:sz w:val="15"/>
          <w:szCs w:val="15"/>
        </w:rPr>
        <w:t xml:space="preserve">PRIMEIRO DISTRATANTE</w:t>
      </w:r>
    </w:p>
    <w:p>
      <w:pPr>
        <w:spacing w:after="680"/>
      </w:pPr>
    </w:p>
    <w:p>
      <w:pPr>
        <w:pBdr>
          <w:bottom w:val="single" w:color="14181C" w:sz="6" w:space="1"/>
        </w:pBdr>
        <w:spacing w:after="57" w:before="794"/>
        <w:jc w:val="center"/>
      </w:pPr>
    </w:p>
    <w:p>
      <w:pPr>
        <w:jc w:val="center"/>
      </w:pPr>
      <w:r>
        <w:rPr>
          <w:b/>
          <w:bCs/>
          <w:color w:val="14181C"/>
          <w:sz w:val="18"/>
          <w:szCs w:val="18"/>
        </w:rPr>
        <w:t xml:space="preserve">Rodrigo Salgado Bittencourt</w:t>
      </w:r>
    </w:p>
    <w:p>
      <w:pPr>
        <w:jc w:val="center"/>
      </w:pPr>
      <w:r>
        <w:rPr>
          <w:rFonts w:ascii="Consolas" w:cs="Consolas" w:eastAsia="Consolas" w:hAnsi="Consolas"/>
          <w:color w:val="6B7378"/>
          <w:sz w:val="15"/>
          <w:szCs w:val="15"/>
        </w:rPr>
        <w:t xml:space="preserve">SEGUNDO DISTRATANTE</w:t>
      </w:r>
    </w:p>
    <w:p>
      <w:pPr>
        <w:spacing w:after="680"/>
      </w:pPr>
    </w:p>
    <w:p>
      <w:pPr>
        <w:pBdr>
          <w:bottom w:val="single" w:color="14181C" w:sz="6" w:space="1"/>
        </w:pBdr>
        <w:spacing w:after="57" w:before="794"/>
        <w:jc w:val="center"/>
      </w:pPr>
    </w:p>
    <w:p>
      <w:pPr>
        <w:jc w:val="center"/>
      </w:pPr>
      <w:r>
        <w:rPr>
          <w:b/>
          <w:bCs/>
          <w:color w:val="14181C"/>
          <w:sz w:val="18"/>
          <w:szCs w:val="18"/>
        </w:rPr>
        <w:t xml:space="preserve">Beatriz Nakagawa Ferri, CPF 390.533.447-05</w:t>
      </w:r>
    </w:p>
    <w:p>
      <w:pPr>
        <w:jc w:val="center"/>
      </w:pPr>
      <w:r>
        <w:rPr>
          <w:rFonts w:ascii="Consolas" w:cs="Consolas" w:eastAsia="Consolas" w:hAnsi="Consolas"/>
          <w:color w:val="6B7378"/>
          <w:sz w:val="15"/>
          <w:szCs w:val="15"/>
        </w:rPr>
        <w:t xml:space="preserve">Testemunha 1</w:t>
      </w:r>
    </w:p>
    <w:p>
      <w:pPr>
        <w:spacing w:after="567"/>
      </w:pPr>
    </w:p>
    <w:p>
      <w:pPr>
        <w:pBdr>
          <w:bottom w:val="single" w:color="14181C" w:sz="6" w:space="1"/>
        </w:pBdr>
        <w:spacing w:after="57" w:before="794"/>
        <w:jc w:val="center"/>
      </w:pPr>
    </w:p>
    <w:p>
      <w:pPr>
        <w:jc w:val="center"/>
      </w:pPr>
      <w:r>
        <w:rPr>
          <w:b/>
          <w:bCs/>
          <w:color w:val="14181C"/>
          <w:sz w:val="18"/>
          <w:szCs w:val="18"/>
        </w:rPr>
        <w:t xml:space="preserve">Otávio Mendes Caldeira, CPF 111.444.777-35</w:t>
      </w:r>
    </w:p>
    <w:p>
      <w:pPr>
        <w:jc w:val="center"/>
      </w:pPr>
      <w:r>
        <w:rPr>
          <w:rFonts w:ascii="Consolas" w:cs="Consolas" w:eastAsia="Consolas" w:hAnsi="Consolas"/>
          <w:color w:val="6B7378"/>
          <w:sz w:val="15"/>
          <w:szCs w:val="15"/>
        </w:rPr>
        <w:t xml:space="preserve">Testemunha 2</w:t>
      </w:r>
    </w:p>
    <w:p>
      <w:pPr>
        <w:spacing w:after="454"/>
      </w:pPr>
    </w:p>
    <w:p>
      <w:pPr>
        <w:spacing w:before="567"/>
        <w:jc w:val="center"/>
      </w:pPr>
      <w:r>
        <w:drawing>
          <wp:inline distT="0" distB="0" distL="0" distR="0">
            <wp:extent cx="114300" cy="114300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1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15"/>
          <w:szCs w:val="15"/>
        </w:rPr>
        <w:t xml:space="preserve">  </w:t>
      </w:r>
      <w:r>
        <w:rPr>
          <w:rFonts w:ascii="Consolas" w:cs="Consolas" w:eastAsia="Consolas" w:hAnsi="Consolas"/>
          <w:color w:val="6B7378"/>
          <w:sz w:val="15"/>
          <w:szCs w:val="15"/>
        </w:rPr>
        <w:t xml:space="preserve">Documento gerado em recibosonline.ia.br</w:t>
      </w:r>
    </w:p>
    <w:sectPr>
      <w:pgSz w:w="11907" w:h="16840" w:orient="portrait"/>
      <w:pgMar w:top="1134" w:right="1021" w:bottom="907" w:left="1021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14181C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image" Target="media/0596e7a8ff695c6cb32b6697b6ef141a4b5322d3.png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Distrato</dc:title>
  <dc:creator>Recibos Online IA</dc:creator>
  <cp:lastModifiedBy>Un-named</cp:lastModifiedBy>
  <cp:revision>1</cp:revision>
  <dcterms:created xsi:type="dcterms:W3CDTF">2026-08-13T16:15:37.096Z</dcterms:created>
  <dcterms:modified xsi:type="dcterms:W3CDTF">2026-08-13T16:15:37.096Z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